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48C" w:rsidRDefault="00012DFF" w:rsidP="00BE048C">
      <w:pPr>
        <w:spacing w:before="91"/>
        <w:ind w:left="220"/>
        <w:jc w:val="center"/>
        <w:rPr>
          <w:sz w:val="31"/>
        </w:rPr>
      </w:pPr>
      <w:r>
        <w:pict>
          <v:line id="_x0000_s1049" style="position:absolute;left:0;text-align:left;z-index:251652608;mso-wrap-distance-left:0;mso-wrap-distance-right:0;mso-position-horizontal-relative:page" from="34.55pt,28.3pt" to="577.45pt,28.3pt" strokecolor="#ddd" strokeweight=".96pt">
            <w10:wrap type="topAndBottom" anchorx="page"/>
          </v:line>
        </w:pict>
      </w:r>
      <w:r w:rsidR="00BE5F14">
        <w:rPr>
          <w:sz w:val="31"/>
        </w:rPr>
        <w:t>C</w:t>
      </w:r>
      <w:r w:rsidR="00BE048C">
        <w:rPr>
          <w:sz w:val="31"/>
        </w:rPr>
        <w:t xml:space="preserve">onsolidated </w:t>
      </w:r>
      <w:r w:rsidR="00BE5F14">
        <w:rPr>
          <w:sz w:val="31"/>
        </w:rPr>
        <w:t>H</w:t>
      </w:r>
      <w:r w:rsidR="00BE048C">
        <w:rPr>
          <w:sz w:val="31"/>
        </w:rPr>
        <w:t>omeless Fund (CHF)</w:t>
      </w:r>
    </w:p>
    <w:p w:rsidR="00042CA2" w:rsidRDefault="00BE5F14" w:rsidP="00BE048C">
      <w:pPr>
        <w:spacing w:before="91"/>
        <w:ind w:left="220"/>
        <w:jc w:val="center"/>
        <w:rPr>
          <w:sz w:val="31"/>
        </w:rPr>
      </w:pPr>
      <w:r>
        <w:rPr>
          <w:sz w:val="31"/>
        </w:rPr>
        <w:t>Lead-Based Paint Property Owner Certification Form</w:t>
      </w:r>
    </w:p>
    <w:p w:rsidR="00042CA2" w:rsidRDefault="00042CA2" w:rsidP="00BE048C">
      <w:pPr>
        <w:pStyle w:val="BodyText"/>
        <w:spacing w:before="7"/>
        <w:jc w:val="center"/>
        <w:rPr>
          <w:sz w:val="22"/>
        </w:rPr>
      </w:pPr>
    </w:p>
    <w:p w:rsidR="00042CA2" w:rsidRDefault="00BE5F14">
      <w:pPr>
        <w:pStyle w:val="BodyText"/>
        <w:spacing w:before="107" w:line="252" w:lineRule="auto"/>
        <w:ind w:left="220" w:right="124"/>
      </w:pPr>
      <w:r>
        <w:rPr>
          <w:w w:val="103"/>
        </w:rPr>
        <w:t>The</w:t>
      </w:r>
      <w:r>
        <w:t xml:space="preserve"> </w:t>
      </w:r>
      <w:r w:rsidR="00012DFF">
        <w:rPr>
          <w:w w:val="103"/>
        </w:rPr>
        <w:t>CHF</w:t>
      </w:r>
      <w:bookmarkStart w:id="0" w:name="_GoBack"/>
      <w:bookmarkEnd w:id="0"/>
      <w:r>
        <w:t xml:space="preserve"> </w:t>
      </w:r>
      <w:r>
        <w:rPr>
          <w:w w:val="103"/>
        </w:rPr>
        <w:t>Lead</w:t>
      </w:r>
      <w:r>
        <w:rPr>
          <w:rFonts w:ascii="Cambria Math" w:hAnsi="Cambria Math"/>
          <w:w w:val="34"/>
        </w:rPr>
        <w:t>-­‐</w:t>
      </w:r>
      <w:r>
        <w:rPr>
          <w:w w:val="103"/>
        </w:rPr>
        <w:t>Based</w:t>
      </w:r>
      <w:r>
        <w:t xml:space="preserve"> </w:t>
      </w:r>
      <w:r>
        <w:rPr>
          <w:w w:val="103"/>
        </w:rPr>
        <w:t>Paint</w:t>
      </w:r>
      <w:r>
        <w:t xml:space="preserve"> </w:t>
      </w:r>
      <w:r>
        <w:rPr>
          <w:w w:val="103"/>
        </w:rPr>
        <w:t>Property</w:t>
      </w:r>
      <w:r>
        <w:t xml:space="preserve"> </w:t>
      </w:r>
      <w:r>
        <w:rPr>
          <w:w w:val="103"/>
        </w:rPr>
        <w:t>Owner</w:t>
      </w:r>
      <w:r>
        <w:t xml:space="preserve"> </w:t>
      </w:r>
      <w:r>
        <w:rPr>
          <w:w w:val="103"/>
        </w:rPr>
        <w:t>Certification</w:t>
      </w:r>
      <w:r>
        <w:t xml:space="preserve"> </w:t>
      </w:r>
      <w:r>
        <w:rPr>
          <w:w w:val="103"/>
        </w:rPr>
        <w:t>Form</w:t>
      </w:r>
      <w:r>
        <w:t xml:space="preserve"> </w:t>
      </w:r>
      <w:r>
        <w:rPr>
          <w:w w:val="103"/>
        </w:rPr>
        <w:t>is</w:t>
      </w:r>
      <w:r>
        <w:t xml:space="preserve"> </w:t>
      </w:r>
      <w:r>
        <w:rPr>
          <w:w w:val="103"/>
        </w:rPr>
        <w:t>a</w:t>
      </w:r>
      <w:r>
        <w:t xml:space="preserve"> </w:t>
      </w:r>
      <w:r>
        <w:rPr>
          <w:w w:val="103"/>
        </w:rPr>
        <w:t>tool</w:t>
      </w:r>
      <w:r>
        <w:t xml:space="preserve"> </w:t>
      </w:r>
      <w:r>
        <w:rPr>
          <w:w w:val="103"/>
        </w:rPr>
        <w:t>program</w:t>
      </w:r>
      <w:r>
        <w:t xml:space="preserve"> </w:t>
      </w:r>
      <w:r>
        <w:rPr>
          <w:w w:val="103"/>
        </w:rPr>
        <w:t>staff</w:t>
      </w:r>
      <w:r>
        <w:t xml:space="preserve"> </w:t>
      </w:r>
      <w:r>
        <w:rPr>
          <w:w w:val="103"/>
        </w:rPr>
        <w:t>can</w:t>
      </w:r>
      <w:r>
        <w:t xml:space="preserve"> </w:t>
      </w:r>
      <w:r>
        <w:rPr>
          <w:w w:val="103"/>
        </w:rPr>
        <w:t>use</w:t>
      </w:r>
      <w:r>
        <w:t xml:space="preserve"> </w:t>
      </w:r>
      <w:r>
        <w:rPr>
          <w:w w:val="103"/>
        </w:rPr>
        <w:t>to</w:t>
      </w:r>
      <w:r>
        <w:t xml:space="preserve"> </w:t>
      </w:r>
      <w:r>
        <w:rPr>
          <w:w w:val="103"/>
        </w:rPr>
        <w:t>have</w:t>
      </w:r>
      <w:r>
        <w:t xml:space="preserve"> </w:t>
      </w:r>
      <w:r>
        <w:rPr>
          <w:w w:val="103"/>
        </w:rPr>
        <w:t xml:space="preserve">property </w:t>
      </w:r>
      <w:r>
        <w:rPr>
          <w:w w:val="105"/>
        </w:rPr>
        <w:t>owners/managers certify that all paint stabilization activities have been completed in accordance with guidelines when formal clearance is not required (or as additional documentation when formal clearance is required). A copy of the completed form along with any additional documentation (i.e., a copy of the clearance report) should be kept in each program participant’s file.</w:t>
      </w:r>
    </w:p>
    <w:p w:rsidR="00042CA2" w:rsidRDefault="00BE5F14">
      <w:pPr>
        <w:spacing w:before="124"/>
        <w:ind w:left="220"/>
        <w:rPr>
          <w:b/>
          <w:sz w:val="19"/>
        </w:rPr>
      </w:pPr>
      <w:r>
        <w:rPr>
          <w:b/>
          <w:w w:val="105"/>
          <w:sz w:val="19"/>
        </w:rPr>
        <w:t>Instructions</w:t>
      </w:r>
    </w:p>
    <w:p w:rsidR="00042CA2" w:rsidRDefault="00BE5F14">
      <w:pPr>
        <w:pStyle w:val="BodyText"/>
        <w:spacing w:before="11" w:line="252" w:lineRule="auto"/>
        <w:ind w:left="220" w:right="124"/>
      </w:pPr>
      <w:r>
        <w:rPr>
          <w:w w:val="103"/>
        </w:rPr>
        <w:t>To</w:t>
      </w:r>
      <w:r>
        <w:t xml:space="preserve"> </w:t>
      </w:r>
      <w:r>
        <w:rPr>
          <w:w w:val="103"/>
        </w:rPr>
        <w:t>prevent</w:t>
      </w:r>
      <w:r>
        <w:t xml:space="preserve"> </w:t>
      </w:r>
      <w:r>
        <w:rPr>
          <w:w w:val="103"/>
        </w:rPr>
        <w:t>lead</w:t>
      </w:r>
      <w:r>
        <w:rPr>
          <w:rFonts w:ascii="Cambria Math" w:hAnsi="Cambria Math"/>
          <w:w w:val="34"/>
        </w:rPr>
        <w:t>-­‐</w:t>
      </w:r>
      <w:r>
        <w:rPr>
          <w:w w:val="103"/>
        </w:rPr>
        <w:t>poisoning</w:t>
      </w:r>
      <w:r>
        <w:t xml:space="preserve"> </w:t>
      </w:r>
      <w:r>
        <w:rPr>
          <w:w w:val="103"/>
        </w:rPr>
        <w:t>in</w:t>
      </w:r>
      <w:r>
        <w:t xml:space="preserve"> </w:t>
      </w:r>
      <w:r>
        <w:rPr>
          <w:w w:val="103"/>
        </w:rPr>
        <w:t>young</w:t>
      </w:r>
      <w:r>
        <w:t xml:space="preserve"> </w:t>
      </w:r>
      <w:r>
        <w:rPr>
          <w:w w:val="103"/>
        </w:rPr>
        <w:t>children,</w:t>
      </w:r>
      <w:r>
        <w:t xml:space="preserve"> </w:t>
      </w:r>
      <w:r>
        <w:rPr>
          <w:w w:val="103"/>
        </w:rPr>
        <w:t>the</w:t>
      </w:r>
      <w:r>
        <w:t xml:space="preserve"> </w:t>
      </w:r>
      <w:r>
        <w:rPr>
          <w:w w:val="103"/>
        </w:rPr>
        <w:t>CHF</w:t>
      </w:r>
      <w:r>
        <w:t xml:space="preserve"> </w:t>
      </w:r>
      <w:r>
        <w:rPr>
          <w:w w:val="103"/>
        </w:rPr>
        <w:t>program</w:t>
      </w:r>
      <w:r>
        <w:t xml:space="preserve"> </w:t>
      </w:r>
      <w:r>
        <w:rPr>
          <w:w w:val="103"/>
        </w:rPr>
        <w:t>must</w:t>
      </w:r>
      <w:r>
        <w:t xml:space="preserve"> </w:t>
      </w:r>
      <w:r>
        <w:rPr>
          <w:w w:val="103"/>
        </w:rPr>
        <w:t>comply</w:t>
      </w:r>
      <w:r>
        <w:t xml:space="preserve"> </w:t>
      </w:r>
      <w:r>
        <w:rPr>
          <w:w w:val="103"/>
        </w:rPr>
        <w:t>with</w:t>
      </w:r>
      <w:r>
        <w:t xml:space="preserve"> </w:t>
      </w:r>
      <w:r>
        <w:rPr>
          <w:w w:val="103"/>
        </w:rPr>
        <w:t>the</w:t>
      </w:r>
      <w:r>
        <w:t xml:space="preserve"> </w:t>
      </w:r>
      <w:r>
        <w:rPr>
          <w:w w:val="103"/>
        </w:rPr>
        <w:t>Lead</w:t>
      </w:r>
      <w:r>
        <w:rPr>
          <w:rFonts w:ascii="Cambria Math" w:hAnsi="Cambria Math"/>
          <w:w w:val="34"/>
        </w:rPr>
        <w:t>-­‐</w:t>
      </w:r>
      <w:r>
        <w:rPr>
          <w:w w:val="103"/>
        </w:rPr>
        <w:t>Based</w:t>
      </w:r>
      <w:r>
        <w:t xml:space="preserve"> </w:t>
      </w:r>
      <w:r>
        <w:rPr>
          <w:w w:val="103"/>
        </w:rPr>
        <w:t xml:space="preserve">Paint </w:t>
      </w:r>
      <w:r>
        <w:rPr>
          <w:w w:val="105"/>
        </w:rPr>
        <w:t>Poisoning Prevention Act of 1973 and its applicable regulations found at 24 CFR 35, Parts A, B, M, and R. If a visual assessment reveals problems with paint surfaces, property owners/managers must repair all identified problems with paint surfaces in accordance with the guidelines of 24 CFR 35, Parts A, B, M, and R, prior to a unit receiving CHF assistance. Property owners/managers should complete this form to certify that all identified problems with paint surfaces have been repaired/stabilized in accordance with the guidelines.</w:t>
      </w:r>
    </w:p>
    <w:p w:rsidR="00042CA2" w:rsidRDefault="00012DFF">
      <w:pPr>
        <w:pStyle w:val="ListParagraph"/>
        <w:numPr>
          <w:ilvl w:val="0"/>
          <w:numId w:val="1"/>
        </w:numPr>
        <w:tabs>
          <w:tab w:val="left" w:pos="580"/>
          <w:tab w:val="left" w:pos="2680"/>
        </w:tabs>
        <w:spacing w:before="120" w:line="252" w:lineRule="auto"/>
        <w:ind w:right="4458" w:hanging="660"/>
        <w:rPr>
          <w:sz w:val="19"/>
        </w:rPr>
      </w:pPr>
      <w:r>
        <w:pict>
          <v:rect id="_x0000_s1048" style="position:absolute;left:0;text-align:left;margin-left:55.1pt;margin-top:18.8pt;width:9.85pt;height:9.85pt;z-index:-251657728;mso-position-horizontal-relative:page" filled="f" strokeweight=".72pt">
            <w10:wrap anchorx="page"/>
          </v:rect>
        </w:pict>
      </w:r>
      <w:r>
        <w:pict>
          <v:rect id="_x0000_s1047" style="position:absolute;left:0;text-align:left;margin-left:145.1pt;margin-top:18.8pt;width:9.85pt;height:9.85pt;z-index:-251656704;mso-position-horizontal-relative:page" filled="f" strokeweight=".72pt">
            <w10:wrap anchorx="page"/>
          </v:rect>
        </w:pict>
      </w:r>
      <w:r w:rsidR="00BE5F14">
        <w:rPr>
          <w:w w:val="105"/>
          <w:sz w:val="19"/>
        </w:rPr>
        <w:t>Have all identified problems with paint surfaced been repaired? Yes</w:t>
      </w:r>
      <w:r w:rsidR="00BE5F14">
        <w:rPr>
          <w:w w:val="105"/>
          <w:sz w:val="19"/>
        </w:rPr>
        <w:tab/>
        <w:t>No</w:t>
      </w:r>
    </w:p>
    <w:p w:rsidR="00042CA2" w:rsidRDefault="00042CA2">
      <w:pPr>
        <w:pStyle w:val="BodyText"/>
        <w:spacing w:before="11"/>
      </w:pPr>
    </w:p>
    <w:p w:rsidR="00042CA2" w:rsidRDefault="00012DFF">
      <w:pPr>
        <w:pStyle w:val="ListParagraph"/>
        <w:numPr>
          <w:ilvl w:val="0"/>
          <w:numId w:val="1"/>
        </w:numPr>
        <w:tabs>
          <w:tab w:val="left" w:pos="580"/>
          <w:tab w:val="left" w:pos="2680"/>
        </w:tabs>
        <w:spacing w:before="1" w:line="256" w:lineRule="auto"/>
        <w:ind w:hanging="660"/>
        <w:rPr>
          <w:sz w:val="19"/>
        </w:rPr>
      </w:pPr>
      <w:r>
        <w:pict>
          <v:shape id="_x0000_s1046" style="position:absolute;left:0;text-align:left;margin-left:179.5pt;margin-top:-736.8pt;width:41pt;height:92pt;z-index:251655680;mso-position-horizontal-relative:page" coordorigin="3590,-14736" coordsize="820,1840" o:spt="100" adj="0,,0" path="m1102,262r196,l1298,459r-196,l1102,262xm1102,507r196,l1298,703r-196,l1102,507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5" style="position:absolute;left:0;text-align:left;margin-left:145.1pt;margin-top:13.1pt;width:9.85pt;height:9.85pt;z-index:-251655680;mso-position-horizontal-relative:page" filled="f" strokeweight=".72pt">
            <w10:wrap anchorx="page"/>
          </v:rect>
        </w:pict>
      </w:r>
      <w:r w:rsidR="00BE5F14">
        <w:rPr>
          <w:w w:val="105"/>
          <w:sz w:val="19"/>
        </w:rPr>
        <w:t>Have all identified problems with paint surfaces been repaired using safe work practices? Yes</w:t>
      </w:r>
      <w:r w:rsidR="00BE5F14">
        <w:rPr>
          <w:w w:val="105"/>
          <w:sz w:val="19"/>
        </w:rPr>
        <w:tab/>
        <w:t>No</w:t>
      </w:r>
    </w:p>
    <w:p w:rsidR="00042CA2" w:rsidRDefault="00BE5F14">
      <w:pPr>
        <w:pStyle w:val="BodyText"/>
        <w:spacing w:line="229" w:lineRule="exact"/>
        <w:ind w:left="880"/>
      </w:pPr>
      <w:r>
        <w:rPr>
          <w:w w:val="105"/>
        </w:rPr>
        <w:t xml:space="preserve">Not Applicable – the area of paint to be stabilized did not exceed the de </w:t>
      </w:r>
      <w:proofErr w:type="spellStart"/>
      <w:r>
        <w:rPr>
          <w:w w:val="105"/>
        </w:rPr>
        <w:t>minimis</w:t>
      </w:r>
      <w:proofErr w:type="spellEnd"/>
      <w:r>
        <w:rPr>
          <w:w w:val="105"/>
        </w:rPr>
        <w:t xml:space="preserve"> levels</w:t>
      </w:r>
    </w:p>
    <w:p w:rsidR="00042CA2" w:rsidRDefault="00042CA2">
      <w:pPr>
        <w:pStyle w:val="BodyText"/>
        <w:spacing w:before="11"/>
        <w:rPr>
          <w:sz w:val="20"/>
        </w:rPr>
      </w:pPr>
    </w:p>
    <w:p w:rsidR="00042CA2" w:rsidRDefault="00012DFF">
      <w:pPr>
        <w:pStyle w:val="ListParagraph"/>
        <w:numPr>
          <w:ilvl w:val="0"/>
          <w:numId w:val="1"/>
        </w:numPr>
        <w:tabs>
          <w:tab w:val="left" w:pos="580"/>
          <w:tab w:val="left" w:pos="2680"/>
        </w:tabs>
        <w:spacing w:line="252" w:lineRule="auto"/>
        <w:ind w:right="2558" w:hanging="660"/>
        <w:rPr>
          <w:sz w:val="19"/>
        </w:rPr>
      </w:pPr>
      <w:r>
        <w:pict>
          <v:shape id="_x0000_s1044" style="position:absolute;left:0;text-align:left;margin-left:179.5pt;margin-top:-990.05pt;width:41pt;height:92pt;z-index:251656704;mso-position-horizontal-relative:page" coordorigin="3590,-19801" coordsize="820,1840" o:spt="100" adj="0,,0" path="m1102,256r196,l1298,453r-196,l1102,256xm1102,501r196,l1298,698r-196,l1102,50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3" style="position:absolute;left:0;text-align:left;margin-left:145.1pt;margin-top:12.8pt;width:9.85pt;height:9.85pt;z-index:-251654656;mso-position-horizontal-relative:page" filled="f" strokeweight=".72pt">
            <w10:wrap anchorx="page"/>
          </v:rect>
        </w:pict>
      </w:r>
      <w:r w:rsidR="00BE5F14">
        <w:rPr>
          <w:w w:val="105"/>
          <w:sz w:val="19"/>
        </w:rPr>
        <w:t>Was a clearance exam conducted by an independent, certified lead professional? Yes</w:t>
      </w:r>
      <w:r w:rsidR="00BE5F14">
        <w:rPr>
          <w:w w:val="105"/>
          <w:sz w:val="19"/>
        </w:rPr>
        <w:tab/>
        <w:t>No</w:t>
      </w:r>
    </w:p>
    <w:p w:rsidR="00042CA2" w:rsidRDefault="00BE5F14">
      <w:pPr>
        <w:pStyle w:val="BodyText"/>
        <w:ind w:left="880"/>
      </w:pPr>
      <w:r>
        <w:rPr>
          <w:w w:val="105"/>
        </w:rPr>
        <w:t xml:space="preserve">Not Applicable – the area of paint to be stabilized did not exceed the de </w:t>
      </w:r>
      <w:proofErr w:type="spellStart"/>
      <w:r>
        <w:rPr>
          <w:w w:val="105"/>
        </w:rPr>
        <w:t>minimis</w:t>
      </w:r>
      <w:proofErr w:type="spellEnd"/>
      <w:r>
        <w:rPr>
          <w:w w:val="105"/>
        </w:rPr>
        <w:t xml:space="preserve"> levels</w:t>
      </w:r>
    </w:p>
    <w:p w:rsidR="00042CA2" w:rsidRDefault="00042CA2">
      <w:pPr>
        <w:pStyle w:val="BodyText"/>
        <w:spacing w:before="11"/>
        <w:rPr>
          <w:sz w:val="20"/>
        </w:rPr>
      </w:pPr>
    </w:p>
    <w:p w:rsidR="00042CA2" w:rsidRDefault="00012DFF">
      <w:pPr>
        <w:pStyle w:val="ListParagraph"/>
        <w:numPr>
          <w:ilvl w:val="0"/>
          <w:numId w:val="1"/>
        </w:numPr>
        <w:tabs>
          <w:tab w:val="left" w:pos="580"/>
          <w:tab w:val="left" w:pos="2680"/>
        </w:tabs>
        <w:spacing w:line="252" w:lineRule="auto"/>
        <w:ind w:right="6900" w:hanging="660"/>
        <w:rPr>
          <w:sz w:val="19"/>
        </w:rPr>
      </w:pPr>
      <w:r>
        <w:pict>
          <v:shape id="_x0000_s1042" style="position:absolute;left:0;text-align:left;margin-left:179.5pt;margin-top:-1243pt;width:41pt;height:92pt;z-index:251657728;mso-position-horizontal-relative:page" coordorigin="3590,-24860" coordsize="820,1840" o:spt="100" adj="0,,0" path="m1102,256r196,l1298,453r-196,l1102,256xm1102,501r196,l1298,698r-196,l1102,501xe" filled="f" strokeweight=".72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041" style="position:absolute;left:0;text-align:left;margin-left:145.1pt;margin-top:12.8pt;width:9.85pt;height:9.85pt;z-index:-251653632;mso-position-horizontal-relative:page" filled="f" strokeweight=".72pt">
            <w10:wrap anchorx="page"/>
          </v:rect>
        </w:pict>
      </w:r>
      <w:r w:rsidR="00BE5F14">
        <w:rPr>
          <w:w w:val="105"/>
          <w:sz w:val="19"/>
        </w:rPr>
        <w:t>Did the unit pass the clearance exam? Yes</w:t>
      </w:r>
      <w:r w:rsidR="00BE5F14">
        <w:rPr>
          <w:w w:val="105"/>
          <w:sz w:val="19"/>
        </w:rPr>
        <w:tab/>
        <w:t>No</w:t>
      </w:r>
    </w:p>
    <w:p w:rsidR="00042CA2" w:rsidRDefault="00BE5F14">
      <w:pPr>
        <w:pStyle w:val="BodyText"/>
        <w:ind w:left="880"/>
      </w:pPr>
      <w:r>
        <w:rPr>
          <w:w w:val="105"/>
        </w:rPr>
        <w:t xml:space="preserve">Not Applicable – the area of paint to be stabilized did not exceed the de </w:t>
      </w:r>
      <w:proofErr w:type="spellStart"/>
      <w:r>
        <w:rPr>
          <w:w w:val="105"/>
        </w:rPr>
        <w:t>minimis</w:t>
      </w:r>
      <w:proofErr w:type="spellEnd"/>
      <w:r>
        <w:rPr>
          <w:w w:val="105"/>
        </w:rPr>
        <w:t xml:space="preserve"> levels</w:t>
      </w:r>
    </w:p>
    <w:p w:rsidR="00042CA2" w:rsidRDefault="00042CA2">
      <w:pPr>
        <w:pStyle w:val="BodyText"/>
        <w:rPr>
          <w:sz w:val="20"/>
        </w:rPr>
      </w:pPr>
    </w:p>
    <w:p w:rsidR="00042CA2" w:rsidRDefault="00012DFF">
      <w:pPr>
        <w:pStyle w:val="BodyText"/>
        <w:rPr>
          <w:sz w:val="16"/>
        </w:rPr>
      </w:pPr>
      <w:r>
        <w:pict>
          <v:group id="_x0000_s1027" style="position:absolute;margin-left:30.25pt;margin-top:11.8pt;width:551.55pt;height:133.95pt;z-index:251653632;mso-wrap-distance-left:0;mso-wrap-distance-right:0;mso-position-horizontal-relative:page" coordorigin="605,236" coordsize="11031,2679">
            <v:line id="_x0000_s1040" style="position:absolute" from="614,245" to="2611,245" strokecolor="#b2b2b2" strokeweight=".48pt"/>
            <v:line id="_x0000_s1039" style="position:absolute" from="2611,245" to="2621,245" strokecolor="#b2b2b2" strokeweight=".48pt"/>
            <v:line id="_x0000_s1038" style="position:absolute" from="2621,245" to="11395,245" strokecolor="#b2b2b2" strokeweight=".48pt"/>
            <v:line id="_x0000_s1037" style="position:absolute" from="11395,245" to="11405,245" strokecolor="#b2b2b2" strokeweight=".48pt"/>
            <v:line id="_x0000_s1036" style="position:absolute" from="11405,245" to="11626,245" strokecolor="#b2b2b2" strokeweight=".48pt"/>
            <v:line id="_x0000_s1035" style="position:absolute" from="610,241" to="610,2909" strokecolor="#b2b2b2" strokeweight=".48pt"/>
            <v:line id="_x0000_s1034" style="position:absolute" from="614,2905" to="11626,2905" strokecolor="#b2b2b2" strokeweight=".48pt"/>
            <v:line id="_x0000_s1033" style="position:absolute" from="11630,241" to="11630,2909" strokecolor="#b2b2b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20;top:374;width:1483;height:919" filled="f" stroked="f">
              <v:textbox style="mso-next-textbox:#_x0000_s1032" inset="0,0,0,0">
                <w:txbxContent>
                  <w:p w:rsidR="00042CA2" w:rsidRDefault="00BE5F14">
                    <w:pPr>
                      <w:spacing w:before="7" w:line="403" w:lineRule="auto"/>
                      <w:ind w:right="12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Name of Tenant: Unit Address:</w:t>
                    </w:r>
                  </w:p>
                  <w:p w:rsidR="00042CA2" w:rsidRDefault="00BE5F14">
                    <w:pPr>
                      <w:spacing w:before="3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City:</w:t>
                    </w:r>
                  </w:p>
                </w:txbxContent>
              </v:textbox>
            </v:shape>
            <v:shape id="_x0000_s1031" type="#_x0000_t202" style="position:absolute;left:2611;top:374;width:8804;height:569" filled="f" stroked="f">
              <v:textbox style="mso-next-textbox:#_x0000_s1031" inset="0,0,0,0">
                <w:txbxContent>
                  <w:p w:rsidR="00042CA2" w:rsidRDefault="00BE5F14">
                    <w:pPr>
                      <w:tabs>
                        <w:tab w:val="left" w:pos="8783"/>
                      </w:tabs>
                      <w:spacing w:before="7"/>
                      <w:rPr>
                        <w:sz w:val="17"/>
                      </w:rPr>
                    </w:pP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  <w:p w:rsidR="00042CA2" w:rsidRDefault="00BE5F14">
                    <w:pPr>
                      <w:tabs>
                        <w:tab w:val="left" w:pos="8783"/>
                      </w:tabs>
                      <w:spacing w:before="141"/>
                      <w:rPr>
                        <w:sz w:val="17"/>
                      </w:rPr>
                    </w:pP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2611;top:1074;width:6769;height:218" filled="f" stroked="f">
              <v:textbox style="mso-next-textbox:#_x0000_s1030" inset="0,0,0,0">
                <w:txbxContent>
                  <w:p w:rsidR="00042CA2" w:rsidRDefault="00BE5F14">
                    <w:pPr>
                      <w:tabs>
                        <w:tab w:val="left" w:pos="3331"/>
                        <w:tab w:val="left" w:pos="6748"/>
                      </w:tabs>
                      <w:spacing w:before="7"/>
                      <w:rPr>
                        <w:sz w:val="17"/>
                      </w:rPr>
                    </w:pP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State: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9" type="#_x0000_t202" style="position:absolute;left:9674;top:1074;width:1741;height:218" filled="f" stroked="f">
              <v:textbox style="mso-next-textbox:#_x0000_s1029" inset="0,0,0,0">
                <w:txbxContent>
                  <w:p w:rsidR="00042CA2" w:rsidRDefault="00BE5F14">
                    <w:pPr>
                      <w:tabs>
                        <w:tab w:val="left" w:pos="1720"/>
                      </w:tabs>
                      <w:spacing w:before="7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Zip:</w:t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spacing w:val="15"/>
                        <w:sz w:val="17"/>
                      </w:rPr>
                      <w:t xml:space="preserve"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28" type="#_x0000_t202" style="position:absolute;left:720;top:1425;width:10696;height:1269" filled="f" stroked="f">
              <v:textbox style="mso-next-textbox:#_x0000_s1028" inset="0,0,0,0">
                <w:txbxContent>
                  <w:p w:rsidR="00042CA2" w:rsidRDefault="00BE5F14">
                    <w:pPr>
                      <w:tabs>
                        <w:tab w:val="left" w:pos="7065"/>
                        <w:tab w:val="left" w:pos="7747"/>
                        <w:tab w:val="left" w:pos="10675"/>
                      </w:tabs>
                      <w:spacing w:before="7" w:line="403" w:lineRule="auto"/>
                      <w:ind w:right="18"/>
                      <w:jc w:val="both"/>
                      <w:rPr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Name of</w:t>
                    </w:r>
                    <w:r>
                      <w:rPr>
                        <w:spacing w:val="6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Property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Owner/Manager:</w:t>
                    </w:r>
                    <w:r>
                      <w:rPr>
                        <w:sz w:val="17"/>
                      </w:rPr>
                      <w:t xml:space="preserve">   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Property</w:t>
                    </w:r>
                    <w:r>
                      <w:rPr>
                        <w:spacing w:val="5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Owner/Manager</w:t>
                    </w:r>
                    <w:r>
                      <w:rPr>
                        <w:spacing w:val="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Signature:</w:t>
                    </w:r>
                    <w:r>
                      <w:rPr>
                        <w:sz w:val="17"/>
                      </w:rPr>
                      <w:t xml:space="preserve">  </w:t>
                    </w:r>
                    <w:r>
                      <w:rPr>
                        <w:spacing w:val="10"/>
                        <w:sz w:val="17"/>
                      </w:rPr>
                      <w:t xml:space="preserve"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ab/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Name of CHF Program</w:t>
                    </w:r>
                    <w:r>
                      <w:rPr>
                        <w:spacing w:val="7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Staff:</w:t>
                    </w:r>
                    <w:r>
                      <w:rPr>
                        <w:sz w:val="17"/>
                      </w:rPr>
                      <w:t xml:space="preserve">      </w:t>
                    </w:r>
                    <w:r>
                      <w:rPr>
                        <w:spacing w:val="18"/>
                        <w:sz w:val="17"/>
                      </w:rPr>
                      <w:t xml:space="preserve"> </w:t>
                    </w:r>
                    <w:r>
                      <w:rPr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  <w:r>
                      <w:rPr>
                        <w:sz w:val="17"/>
                        <w:u w:val="single"/>
                      </w:rPr>
                      <w:tab/>
                    </w:r>
                  </w:p>
                  <w:p w:rsidR="00042CA2" w:rsidRDefault="00BE5F14">
                    <w:pPr>
                      <w:tabs>
                        <w:tab w:val="left" w:pos="7065"/>
                        <w:tab w:val="left" w:pos="10675"/>
                      </w:tabs>
                      <w:spacing w:before="3"/>
                      <w:jc w:val="both"/>
                      <w:rPr>
                        <w:b/>
                        <w:sz w:val="17"/>
                      </w:rPr>
                    </w:pPr>
                    <w:r>
                      <w:rPr>
                        <w:w w:val="105"/>
                        <w:sz w:val="17"/>
                      </w:rPr>
                      <w:t>CHF Program</w:t>
                    </w:r>
                    <w:r>
                      <w:rPr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w w:val="105"/>
                        <w:sz w:val="17"/>
                      </w:rPr>
                      <w:t>Staff Signature:</w:t>
                    </w:r>
                    <w:r>
                      <w:rPr>
                        <w:w w:val="105"/>
                        <w:sz w:val="17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7"/>
                      </w:rPr>
                      <w:t>Date:</w:t>
                    </w:r>
                    <w:r>
                      <w:rPr>
                        <w:b/>
                        <w:sz w:val="17"/>
                      </w:rPr>
                      <w:t xml:space="preserve"> </w:t>
                    </w:r>
                    <w:r>
                      <w:rPr>
                        <w:b/>
                        <w:spacing w:val="16"/>
                        <w:sz w:val="17"/>
                      </w:rPr>
                      <w:t xml:space="preserve"> </w:t>
                    </w:r>
                    <w:r>
                      <w:rPr>
                        <w:b/>
                        <w:w w:val="104"/>
                        <w:sz w:val="17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17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BE048C" w:rsidP="00BE048C">
      <w:pPr>
        <w:pStyle w:val="BodyText"/>
        <w:jc w:val="both"/>
        <w:rPr>
          <w:sz w:val="20"/>
        </w:rPr>
      </w:pPr>
      <w:r>
        <w:rPr>
          <w:sz w:val="20"/>
        </w:rPr>
        <w:t>Updated July 2017</w:t>
      </w: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42CA2">
      <w:pPr>
        <w:pStyle w:val="BodyText"/>
        <w:rPr>
          <w:sz w:val="20"/>
        </w:rPr>
      </w:pPr>
    </w:p>
    <w:p w:rsidR="00042CA2" w:rsidRDefault="00012DFF">
      <w:pPr>
        <w:pStyle w:val="BodyText"/>
        <w:spacing w:before="3"/>
        <w:rPr>
          <w:sz w:val="18"/>
        </w:rPr>
      </w:pPr>
      <w:r>
        <w:pict>
          <v:line id="_x0000_s1026" style="position:absolute;z-index:251654656;mso-wrap-distance-left:0;mso-wrap-distance-right:0;mso-position-horizontal-relative:page" from="34.55pt,13.4pt" to="577.45pt,13.4pt" strokeweight=".48pt">
            <w10:wrap type="topAndBottom" anchorx="page"/>
          </v:line>
        </w:pict>
      </w:r>
    </w:p>
    <w:sectPr w:rsidR="00042CA2">
      <w:type w:val="continuous"/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F1833"/>
    <w:multiLevelType w:val="hybridMultilevel"/>
    <w:tmpl w:val="3118E1C2"/>
    <w:lvl w:ilvl="0" w:tplc="668C9126">
      <w:start w:val="1"/>
      <w:numFmt w:val="decimal"/>
      <w:lvlText w:val="%1."/>
      <w:lvlJc w:val="left"/>
      <w:pPr>
        <w:ind w:left="880" w:hanging="360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3"/>
        <w:sz w:val="19"/>
        <w:szCs w:val="19"/>
      </w:rPr>
    </w:lvl>
    <w:lvl w:ilvl="1" w:tplc="E8246AF0">
      <w:numFmt w:val="bullet"/>
      <w:lvlText w:val="•"/>
      <w:lvlJc w:val="left"/>
      <w:pPr>
        <w:ind w:left="1916" w:hanging="360"/>
      </w:pPr>
      <w:rPr>
        <w:rFonts w:hint="default"/>
      </w:rPr>
    </w:lvl>
    <w:lvl w:ilvl="2" w:tplc="F69C7270">
      <w:numFmt w:val="bullet"/>
      <w:lvlText w:val="•"/>
      <w:lvlJc w:val="left"/>
      <w:pPr>
        <w:ind w:left="2952" w:hanging="360"/>
      </w:pPr>
      <w:rPr>
        <w:rFonts w:hint="default"/>
      </w:rPr>
    </w:lvl>
    <w:lvl w:ilvl="3" w:tplc="AFBAE2C4">
      <w:numFmt w:val="bullet"/>
      <w:lvlText w:val="•"/>
      <w:lvlJc w:val="left"/>
      <w:pPr>
        <w:ind w:left="3988" w:hanging="360"/>
      </w:pPr>
      <w:rPr>
        <w:rFonts w:hint="default"/>
      </w:rPr>
    </w:lvl>
    <w:lvl w:ilvl="4" w:tplc="36F85916">
      <w:numFmt w:val="bullet"/>
      <w:lvlText w:val="•"/>
      <w:lvlJc w:val="left"/>
      <w:pPr>
        <w:ind w:left="5024" w:hanging="360"/>
      </w:pPr>
      <w:rPr>
        <w:rFonts w:hint="default"/>
      </w:rPr>
    </w:lvl>
    <w:lvl w:ilvl="5" w:tplc="1CE4B822">
      <w:numFmt w:val="bullet"/>
      <w:lvlText w:val="•"/>
      <w:lvlJc w:val="left"/>
      <w:pPr>
        <w:ind w:left="6060" w:hanging="360"/>
      </w:pPr>
      <w:rPr>
        <w:rFonts w:hint="default"/>
      </w:rPr>
    </w:lvl>
    <w:lvl w:ilvl="6" w:tplc="712875AA">
      <w:numFmt w:val="bullet"/>
      <w:lvlText w:val="•"/>
      <w:lvlJc w:val="left"/>
      <w:pPr>
        <w:ind w:left="7096" w:hanging="360"/>
      </w:pPr>
      <w:rPr>
        <w:rFonts w:hint="default"/>
      </w:rPr>
    </w:lvl>
    <w:lvl w:ilvl="7" w:tplc="5EE6093A">
      <w:numFmt w:val="bullet"/>
      <w:lvlText w:val="•"/>
      <w:lvlJc w:val="left"/>
      <w:pPr>
        <w:ind w:left="8132" w:hanging="360"/>
      </w:pPr>
      <w:rPr>
        <w:rFonts w:hint="default"/>
      </w:rPr>
    </w:lvl>
    <w:lvl w:ilvl="8" w:tplc="784C6B48">
      <w:numFmt w:val="bullet"/>
      <w:lvlText w:val="•"/>
      <w:lvlJc w:val="left"/>
      <w:pPr>
        <w:ind w:left="91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42CA2"/>
    <w:rsid w:val="00012DFF"/>
    <w:rsid w:val="00042CA2"/>
    <w:rsid w:val="00BE048C"/>
    <w:rsid w:val="00B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528C1304"/>
  <w15:docId w15:val="{6529C8B2-9643-43FB-A4F7-358858BCB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880" w:right="2031" w:hanging="6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12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FF"/>
    <w:rPr>
      <w:rFonts w:ascii="Segoe UI" w:eastAsia="Century Gothic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Witcher, Pheamo (DOA)</cp:lastModifiedBy>
  <cp:revision>4</cp:revision>
  <cp:lastPrinted>2018-02-14T17:55:00Z</cp:lastPrinted>
  <dcterms:created xsi:type="dcterms:W3CDTF">2017-07-31T15:47:00Z</dcterms:created>
  <dcterms:modified xsi:type="dcterms:W3CDTF">2018-02-14T17:55:00Z</dcterms:modified>
</cp:coreProperties>
</file>